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3E7B6BB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2" w:lineRule="exact"/>
        <w:ind w:right="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i w:val="0"/>
          <w:caps w:val="0"/>
          <w:snapToGrid/>
          <w:color w:val="auto"/>
          <w:spacing w:val="0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caps w:val="0"/>
          <w:snapToGrid/>
          <w:color w:val="auto"/>
          <w:spacing w:val="0"/>
          <w:sz w:val="32"/>
          <w:szCs w:val="32"/>
          <w:u w:val="none"/>
          <w:lang w:val="en-US" w:eastAsia="zh-CN"/>
        </w:rPr>
        <w:t>附件1：</w:t>
      </w:r>
    </w:p>
    <w:p w14:paraId="3BAEFD0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72" w:lineRule="exact"/>
        <w:jc w:val="center"/>
        <w:textAlignment w:val="auto"/>
        <w:rPr>
          <w:rFonts w:hint="eastAsia" w:ascii="方正小标宋简体" w:hAnsi="宋体" w:eastAsia="方正小标宋简体" w:cs="Times New Roman"/>
          <w:snapToGrid w:val="0"/>
          <w:kern w:val="0"/>
          <w:sz w:val="36"/>
          <w:szCs w:val="36"/>
          <w:lang w:val="en-US" w:eastAsia="zh-CN" w:bidi="ar-SA"/>
        </w:rPr>
      </w:pPr>
      <w:bookmarkStart w:id="0" w:name="_GoBack"/>
      <w:r>
        <w:rPr>
          <w:rFonts w:hint="eastAsia" w:ascii="方正小标宋简体" w:hAnsi="宋体" w:eastAsia="方正小标宋简体" w:cs="Times New Roman"/>
          <w:snapToGrid w:val="0"/>
          <w:kern w:val="0"/>
          <w:sz w:val="36"/>
          <w:szCs w:val="36"/>
          <w:lang w:val="en-US" w:eastAsia="zh-CN" w:bidi="ar-SA"/>
        </w:rPr>
        <w:t>太原市晋源区晋源社区卫生服务中心全科专业</w:t>
      </w:r>
      <w:bookmarkEnd w:id="0"/>
    </w:p>
    <w:p w14:paraId="4DD86ED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72" w:lineRule="exact"/>
        <w:jc w:val="center"/>
        <w:textAlignment w:val="auto"/>
        <w:rPr>
          <w:rFonts w:hint="eastAsia" w:ascii="方正小标宋简体" w:hAnsi="宋体" w:eastAsia="方正小标宋简体" w:cs="Times New Roman"/>
          <w:snapToGrid w:val="0"/>
          <w:kern w:val="0"/>
          <w:sz w:val="36"/>
          <w:szCs w:val="36"/>
          <w:lang w:val="en-US" w:eastAsia="zh-CN" w:bidi="ar-SA"/>
        </w:rPr>
      </w:pPr>
      <w:r>
        <w:rPr>
          <w:rFonts w:hint="eastAsia" w:ascii="方正小标宋简体" w:hAnsi="宋体" w:eastAsia="方正小标宋简体" w:cs="Times New Roman"/>
          <w:snapToGrid w:val="0"/>
          <w:kern w:val="0"/>
          <w:sz w:val="36"/>
          <w:szCs w:val="36"/>
          <w:lang w:val="en-US" w:eastAsia="zh-CN" w:bidi="ar-SA"/>
        </w:rPr>
        <w:t>基层实践基地简介</w:t>
      </w:r>
    </w:p>
    <w:p w14:paraId="10B05743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05" w:line="560" w:lineRule="exact"/>
        <w:textAlignment w:val="baseline"/>
        <w:rPr>
          <w:rFonts w:ascii="黑体" w:hAnsi="黑体" w:eastAsia="黑体" w:cs="黑体"/>
          <w:b w:val="0"/>
          <w:bCs w:val="0"/>
          <w:position w:val="17"/>
          <w:sz w:val="18"/>
          <w:szCs w:val="18"/>
        </w:rPr>
      </w:pPr>
    </w:p>
    <w:p w14:paraId="1BAEC4EB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05" w:line="560" w:lineRule="exact"/>
        <w:ind w:left="674"/>
        <w:textAlignment w:val="baseline"/>
        <w:rPr>
          <w:rFonts w:ascii="黑体" w:hAnsi="黑体" w:eastAsia="黑体" w:cs="黑体"/>
          <w:b w:val="0"/>
          <w:bCs w:val="0"/>
          <w:sz w:val="32"/>
          <w:szCs w:val="32"/>
        </w:rPr>
      </w:pPr>
      <w:r>
        <w:rPr>
          <w:rFonts w:ascii="黑体" w:hAnsi="黑体" w:eastAsia="黑体" w:cs="黑体"/>
          <w:b w:val="0"/>
          <w:bCs w:val="0"/>
          <w:position w:val="17"/>
          <w:sz w:val="32"/>
          <w:szCs w:val="32"/>
        </w:rPr>
        <w:t>一、基层实践基地基本情况介绍</w:t>
      </w:r>
    </w:p>
    <w:p w14:paraId="7383D5D5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640" w:firstLineChars="200"/>
        <w:textAlignment w:val="baseline"/>
        <w:rPr>
          <w:rFonts w:hint="eastAsia" w:ascii="仿宋_GB2312" w:hAnsi="仿宋_GB2312" w:eastAsia="仿宋_GB2312" w:cs="仿宋_GB2312"/>
          <w:b w:val="0"/>
          <w:bCs w:val="0"/>
          <w:i w:val="0"/>
          <w:caps w:val="0"/>
          <w:snapToGrid/>
          <w:color w:val="auto"/>
          <w:spacing w:val="0"/>
          <w:kern w:val="0"/>
          <w:sz w:val="32"/>
          <w:szCs w:val="32"/>
          <w:u w:val="none"/>
          <w:lang w:val="en-US" w:eastAsia="zh-CN" w:bidi="ar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caps w:val="0"/>
          <w:snapToGrid/>
          <w:color w:val="auto"/>
          <w:spacing w:val="0"/>
          <w:kern w:val="0"/>
          <w:sz w:val="32"/>
          <w:szCs w:val="32"/>
          <w:u w:val="none"/>
          <w:lang w:val="en-US" w:eastAsia="zh-CN" w:bidi="ar"/>
        </w:rPr>
        <w:t>（一）地理位置与服务范围</w:t>
      </w:r>
    </w:p>
    <w:p w14:paraId="4AC2EA1B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640" w:firstLineChars="200"/>
        <w:textAlignment w:val="baseline"/>
        <w:rPr>
          <w:rFonts w:hint="eastAsia" w:ascii="仿宋_GB2312" w:hAnsi="仿宋_GB2312" w:eastAsia="仿宋_GB2312" w:cs="仿宋_GB2312"/>
          <w:b w:val="0"/>
          <w:bCs w:val="0"/>
          <w:i w:val="0"/>
          <w:caps w:val="0"/>
          <w:snapToGrid/>
          <w:color w:val="auto"/>
          <w:spacing w:val="0"/>
          <w:kern w:val="0"/>
          <w:sz w:val="32"/>
          <w:szCs w:val="32"/>
          <w:u w:val="none"/>
          <w:lang w:val="en-US" w:eastAsia="zh-CN" w:bidi="ar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caps w:val="0"/>
          <w:snapToGrid/>
          <w:color w:val="auto"/>
          <w:spacing w:val="0"/>
          <w:kern w:val="0"/>
          <w:sz w:val="32"/>
          <w:szCs w:val="32"/>
          <w:u w:val="none"/>
          <w:lang w:val="en-US" w:eastAsia="zh-CN" w:bidi="ar"/>
        </w:rPr>
        <w:t>太原市晋源区晋源社区卫生服务中心前身为晋源卫生院，是政府举办的集医疗、预防、保健为一体的基层医疗机构，于2012年2月整体转型为晋源社区卫生服务中心。中心位于太原市晋源区晋溪街139号，处于晋源区晋源街道中心地带，交通便利，方便周边居民就医。服务范围覆盖周边27个行政村，下设18个村卫生室、4个卫生服务站，服务人口约5.9万余人，能够为广大居民提供便捷的医疗服务。</w:t>
      </w:r>
    </w:p>
    <w:p w14:paraId="2B78D2FB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640" w:firstLineChars="200"/>
        <w:textAlignment w:val="baseline"/>
        <w:rPr>
          <w:rFonts w:hint="eastAsia" w:ascii="仿宋_GB2312" w:hAnsi="仿宋_GB2312" w:eastAsia="仿宋_GB2312" w:cs="仿宋_GB2312"/>
          <w:b w:val="0"/>
          <w:bCs w:val="0"/>
          <w:i w:val="0"/>
          <w:caps w:val="0"/>
          <w:snapToGrid/>
          <w:color w:val="auto"/>
          <w:spacing w:val="0"/>
          <w:kern w:val="0"/>
          <w:sz w:val="32"/>
          <w:szCs w:val="32"/>
          <w:u w:val="none"/>
          <w:lang w:val="en-US" w:eastAsia="zh-CN" w:bidi="ar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caps w:val="0"/>
          <w:snapToGrid/>
          <w:color w:val="auto"/>
          <w:spacing w:val="0"/>
          <w:kern w:val="0"/>
          <w:sz w:val="32"/>
          <w:szCs w:val="32"/>
          <w:u w:val="none"/>
          <w:lang w:val="en-US" w:eastAsia="zh-CN" w:bidi="ar"/>
        </w:rPr>
        <w:t>（二）机构规模与设施设备</w:t>
      </w:r>
    </w:p>
    <w:p w14:paraId="355632B7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640" w:firstLineChars="200"/>
        <w:textAlignment w:val="baseline"/>
        <w:rPr>
          <w:rFonts w:hint="eastAsia" w:ascii="仿宋_GB2312" w:hAnsi="仿宋_GB2312" w:eastAsia="仿宋_GB2312" w:cs="仿宋_GB2312"/>
          <w:b w:val="0"/>
          <w:bCs w:val="0"/>
          <w:i w:val="0"/>
          <w:caps w:val="0"/>
          <w:snapToGrid/>
          <w:color w:val="auto"/>
          <w:spacing w:val="0"/>
          <w:kern w:val="0"/>
          <w:sz w:val="32"/>
          <w:szCs w:val="32"/>
          <w:u w:val="none"/>
          <w:lang w:val="en-US" w:eastAsia="zh-CN" w:bidi="ar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caps w:val="0"/>
          <w:snapToGrid/>
          <w:color w:val="auto"/>
          <w:spacing w:val="0"/>
          <w:kern w:val="0"/>
          <w:sz w:val="32"/>
          <w:szCs w:val="32"/>
          <w:u w:val="none"/>
          <w:lang w:val="en-US" w:eastAsia="zh-CN" w:bidi="ar"/>
        </w:rPr>
        <w:t>中心建筑面积5964.94㎡，设有全科一科（内儿科）、全科二科（外科）、全科三科（妇产科）、中医科、康复理疗科、精神疾病管理科、检验科、医学影像科、药房、健康管理中心、公共卫生科（健康信息管理室、慢病管理室、健康教育室、预防接种室、妇女保健室、儿童保健室、卫生协管科）等多个科室。拥有先进的医疗设备，包括1.5TMR、CT、DR、乳腺钼靶机、骨密度仪器、C形臂、全自动五分类细胞分析仪、全自动生化仪、全自动免疫分析仪、全自动尿分析仪、mlabs干式荧光免疫分析仪、全自动干式生化分析仪、糖化血红蛋白检测仪、血凝仪、酶标仪、幽门螺杆菌检查仪（碳14）、彩色多普勒、脑超、肺功能仪、呼吸机、全自动眼底镜、全自动血流变测试仪、中医体质辩识机、动脉硬化检测仪、医用全自动电子血压计、十二导联心电图、动态心电监护仪、除颤仪、麻醉机、电凝电刀、高频电刀、耳鼻综合治疗仪、牙科综合治疗机、裂隙灯显微镜、12导心电工作站（远程心电图）、异能者云平板M205G等先进设备，能够满足广大居民常见病、多发病的诊断和治疗需求。</w:t>
      </w:r>
    </w:p>
    <w:p w14:paraId="7C27FFC2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640" w:firstLineChars="200"/>
        <w:textAlignment w:val="baseline"/>
        <w:rPr>
          <w:rFonts w:hint="eastAsia" w:ascii="仿宋_GB2312" w:hAnsi="仿宋_GB2312" w:eastAsia="仿宋_GB2312" w:cs="仿宋_GB2312"/>
          <w:b w:val="0"/>
          <w:bCs w:val="0"/>
          <w:i w:val="0"/>
          <w:caps w:val="0"/>
          <w:snapToGrid/>
          <w:color w:val="auto"/>
          <w:spacing w:val="0"/>
          <w:kern w:val="0"/>
          <w:sz w:val="32"/>
          <w:szCs w:val="32"/>
          <w:u w:val="none"/>
          <w:lang w:val="en-US" w:eastAsia="zh-CN" w:bidi="ar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caps w:val="0"/>
          <w:snapToGrid/>
          <w:color w:val="auto"/>
          <w:spacing w:val="0"/>
          <w:kern w:val="0"/>
          <w:sz w:val="32"/>
          <w:szCs w:val="32"/>
          <w:u w:val="none"/>
          <w:lang w:val="en-US" w:eastAsia="zh-CN" w:bidi="ar"/>
        </w:rPr>
        <w:t>（三）人员配置</w:t>
      </w:r>
    </w:p>
    <w:p w14:paraId="0B80726F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640" w:firstLineChars="200"/>
        <w:textAlignment w:val="baseline"/>
        <w:rPr>
          <w:rFonts w:hint="eastAsia" w:ascii="仿宋_GB2312" w:hAnsi="仿宋_GB2312" w:eastAsia="仿宋_GB2312" w:cs="仿宋_GB2312"/>
          <w:b w:val="0"/>
          <w:bCs w:val="0"/>
          <w:i w:val="0"/>
          <w:caps w:val="0"/>
          <w:snapToGrid/>
          <w:color w:val="auto"/>
          <w:spacing w:val="0"/>
          <w:kern w:val="0"/>
          <w:sz w:val="32"/>
          <w:szCs w:val="32"/>
          <w:u w:val="none"/>
          <w:lang w:val="en-US" w:eastAsia="zh-CN" w:bidi="ar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caps w:val="0"/>
          <w:snapToGrid/>
          <w:color w:val="auto"/>
          <w:spacing w:val="0"/>
          <w:kern w:val="0"/>
          <w:sz w:val="32"/>
          <w:szCs w:val="32"/>
          <w:u w:val="none"/>
          <w:lang w:val="en-US" w:eastAsia="zh-CN" w:bidi="ar"/>
        </w:rPr>
        <w:t>现有工作人员67名，其中包括全科医生9名，公卫医生1名，以及其他辅助人员。卫技人员59人，高级职称11名，中级职称15名，初级职称30名，医技人员占比达88%；本科学历15人，大专学历44人，大专及以上学历达80%。全科医生均具备丰富的临床经验，大部分具有本科及以上学历，能够为患者提供专业的医疗服务。</w:t>
      </w:r>
    </w:p>
    <w:p w14:paraId="0FCCDC3C">
      <w:pPr>
        <w:keepNext w:val="0"/>
        <w:keepLines w:val="0"/>
        <w:pageBreakBefore w:val="0"/>
        <w:widowControl/>
        <w:numPr>
          <w:ilvl w:val="0"/>
          <w:numId w:val="0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" w:line="560" w:lineRule="exact"/>
        <w:ind w:firstLine="616" w:firstLineChars="200"/>
        <w:textAlignment w:val="baseline"/>
        <w:rPr>
          <w:rFonts w:ascii="黑体" w:hAnsi="黑体" w:eastAsia="黑体" w:cs="黑体"/>
          <w:b w:val="0"/>
          <w:bCs w:val="0"/>
          <w:spacing w:val="-6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spacing w:val="-6"/>
          <w:sz w:val="32"/>
          <w:szCs w:val="32"/>
          <w:lang w:val="en-US" w:eastAsia="zh-CN"/>
        </w:rPr>
        <w:t>二、</w:t>
      </w:r>
      <w:r>
        <w:rPr>
          <w:rFonts w:ascii="黑体" w:hAnsi="黑体" w:eastAsia="黑体" w:cs="黑体"/>
          <w:b w:val="0"/>
          <w:bCs w:val="0"/>
          <w:spacing w:val="-6"/>
          <w:sz w:val="32"/>
          <w:szCs w:val="32"/>
        </w:rPr>
        <w:t>基层实践基地教学情况介绍</w:t>
      </w:r>
    </w:p>
    <w:p w14:paraId="3FB18CE4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640" w:firstLineChars="200"/>
        <w:textAlignment w:val="baseline"/>
        <w:rPr>
          <w:rFonts w:hint="default" w:ascii="仿宋_GB2312" w:hAnsi="仿宋_GB2312" w:eastAsia="仿宋_GB2312" w:cs="仿宋_GB2312"/>
          <w:b w:val="0"/>
          <w:bCs w:val="0"/>
          <w:i w:val="0"/>
          <w:caps w:val="0"/>
          <w:snapToGrid/>
          <w:color w:val="auto"/>
          <w:spacing w:val="0"/>
          <w:kern w:val="0"/>
          <w:sz w:val="32"/>
          <w:szCs w:val="32"/>
          <w:u w:val="none"/>
          <w:lang w:val="en-US" w:eastAsia="zh-CN" w:bidi="ar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caps w:val="0"/>
          <w:snapToGrid/>
          <w:color w:val="auto"/>
          <w:spacing w:val="0"/>
          <w:kern w:val="0"/>
          <w:sz w:val="32"/>
          <w:szCs w:val="32"/>
          <w:u w:val="none"/>
          <w:lang w:val="en-US" w:eastAsia="zh-CN" w:bidi="ar"/>
        </w:rPr>
        <w:t>（一）师资队伍</w:t>
      </w:r>
    </w:p>
    <w:p w14:paraId="5312AE52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640" w:firstLineChars="200"/>
        <w:textAlignment w:val="baseline"/>
        <w:rPr>
          <w:rFonts w:hint="eastAsia" w:ascii="仿宋_GB2312" w:hAnsi="仿宋_GB2312" w:eastAsia="仿宋_GB2312" w:cs="仿宋_GB2312"/>
          <w:b w:val="0"/>
          <w:bCs w:val="0"/>
          <w:i w:val="0"/>
          <w:caps w:val="0"/>
          <w:snapToGrid/>
          <w:color w:val="auto"/>
          <w:spacing w:val="0"/>
          <w:kern w:val="0"/>
          <w:sz w:val="32"/>
          <w:szCs w:val="32"/>
          <w:u w:val="none"/>
          <w:lang w:val="en-US" w:eastAsia="zh-CN" w:bidi="ar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caps w:val="0"/>
          <w:snapToGrid/>
          <w:color w:val="auto"/>
          <w:spacing w:val="0"/>
          <w:kern w:val="0"/>
          <w:sz w:val="32"/>
          <w:szCs w:val="32"/>
          <w:u w:val="none"/>
          <w:lang w:val="en-US" w:eastAsia="zh-CN" w:bidi="ar"/>
        </w:rPr>
        <w:t>中心拥有一支高素质的教学师资队伍，其中有9名具有中级及以上职称的医生担任带教老师，都有3年及以上基层卫生工作经历，其中高级职称6人。这些带教老师不仅临床经验丰富，而且熟悉全科医学教学特点，能够为规培医生和进修医生提供系统的教学指导。</w:t>
      </w:r>
    </w:p>
    <w:p w14:paraId="250E17E6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640" w:firstLineChars="200"/>
        <w:textAlignment w:val="baseline"/>
        <w:rPr>
          <w:rFonts w:hint="default" w:ascii="仿宋_GB2312" w:hAnsi="仿宋_GB2312" w:eastAsia="仿宋_GB2312" w:cs="仿宋_GB2312"/>
          <w:b w:val="0"/>
          <w:bCs w:val="0"/>
          <w:i w:val="0"/>
          <w:caps w:val="0"/>
          <w:snapToGrid/>
          <w:color w:val="auto"/>
          <w:spacing w:val="0"/>
          <w:kern w:val="0"/>
          <w:sz w:val="32"/>
          <w:szCs w:val="32"/>
          <w:u w:val="none"/>
          <w:lang w:val="en-US" w:eastAsia="zh-CN" w:bidi="ar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caps w:val="0"/>
          <w:snapToGrid/>
          <w:color w:val="auto"/>
          <w:spacing w:val="0"/>
          <w:kern w:val="0"/>
          <w:sz w:val="32"/>
          <w:szCs w:val="32"/>
          <w:u w:val="none"/>
          <w:lang w:val="en-US" w:eastAsia="zh-CN" w:bidi="ar"/>
        </w:rPr>
        <w:t>（二）教学设施与方法</w:t>
      </w:r>
    </w:p>
    <w:p w14:paraId="50076DC6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640" w:firstLineChars="200"/>
        <w:textAlignment w:val="baseline"/>
        <w:rPr>
          <w:rFonts w:ascii="黑体" w:hAnsi="黑体" w:eastAsia="黑体" w:cs="黑体"/>
          <w:b w:val="0"/>
          <w:bCs w:val="0"/>
          <w:spacing w:val="-6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caps w:val="0"/>
          <w:snapToGrid/>
          <w:color w:val="auto"/>
          <w:spacing w:val="0"/>
          <w:kern w:val="0"/>
          <w:sz w:val="32"/>
          <w:szCs w:val="32"/>
          <w:u w:val="none"/>
          <w:lang w:val="en-US" w:eastAsia="zh-CN" w:bidi="ar"/>
        </w:rPr>
        <w:t>中心设有专门的示教室，配备多媒体教学设备，方便开展理论教学。在实践教学方面，采用教学门诊、小讲课、病例讨论、模拟诊疗等多种教学方法，培养临床技能操作和基层接诊能力，让学员在实践中不断提升临床技能。利用定期小讲课，集中学习方式，提高各位首次参加执业医师资格考试的通过率。</w:t>
      </w:r>
    </w:p>
    <w:p w14:paraId="3772E7D3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87" w:line="560" w:lineRule="exact"/>
        <w:ind w:left="674"/>
        <w:textAlignment w:val="baseline"/>
        <w:outlineLvl w:val="0"/>
        <w:rPr>
          <w:rFonts w:ascii="黑体" w:hAnsi="黑体" w:eastAsia="黑体" w:cs="黑体"/>
          <w:b w:val="0"/>
          <w:bCs w:val="0"/>
          <w:sz w:val="32"/>
          <w:szCs w:val="32"/>
        </w:rPr>
      </w:pPr>
      <w:r>
        <w:rPr>
          <w:rFonts w:ascii="黑体" w:hAnsi="黑体" w:eastAsia="黑体" w:cs="黑体"/>
          <w:b w:val="0"/>
          <w:bCs w:val="0"/>
          <w:spacing w:val="-10"/>
          <w:sz w:val="32"/>
          <w:szCs w:val="32"/>
        </w:rPr>
        <w:t>三、</w:t>
      </w:r>
      <w:r>
        <w:rPr>
          <w:rFonts w:ascii="黑体" w:hAnsi="黑体" w:eastAsia="黑体" w:cs="黑体"/>
          <w:b w:val="0"/>
          <w:bCs w:val="0"/>
          <w:spacing w:val="-51"/>
          <w:sz w:val="32"/>
          <w:szCs w:val="32"/>
        </w:rPr>
        <w:t xml:space="preserve"> </w:t>
      </w:r>
      <w:r>
        <w:rPr>
          <w:rFonts w:ascii="黑体" w:hAnsi="黑体" w:eastAsia="黑体" w:cs="黑体"/>
          <w:b w:val="0"/>
          <w:bCs w:val="0"/>
          <w:spacing w:val="-10"/>
          <w:sz w:val="32"/>
          <w:szCs w:val="32"/>
        </w:rPr>
        <w:t>联系人及联系方式</w:t>
      </w:r>
    </w:p>
    <w:p w14:paraId="5D7E0BF9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640" w:firstLineChars="200"/>
        <w:textAlignment w:val="baseline"/>
        <w:rPr>
          <w:rFonts w:hint="eastAsia" w:ascii="仿宋_GB2312" w:hAnsi="仿宋_GB2312" w:eastAsia="仿宋_GB2312" w:cs="仿宋_GB2312"/>
          <w:b w:val="0"/>
          <w:bCs w:val="0"/>
          <w:i w:val="0"/>
          <w:caps w:val="0"/>
          <w:snapToGrid/>
          <w:color w:val="auto"/>
          <w:spacing w:val="0"/>
          <w:kern w:val="0"/>
          <w:sz w:val="32"/>
          <w:szCs w:val="32"/>
          <w:u w:val="none"/>
          <w:lang w:val="en-US" w:eastAsia="zh-CN" w:bidi="ar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caps w:val="0"/>
          <w:snapToGrid/>
          <w:color w:val="auto"/>
          <w:spacing w:val="0"/>
          <w:kern w:val="0"/>
          <w:sz w:val="32"/>
          <w:szCs w:val="32"/>
          <w:u w:val="none"/>
          <w:lang w:val="en-US" w:eastAsia="zh-CN" w:bidi="ar"/>
        </w:rPr>
        <w:t>联系人：张桂芳</w:t>
      </w:r>
    </w:p>
    <w:p w14:paraId="3A23287C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640" w:firstLineChars="200"/>
        <w:textAlignment w:val="baseline"/>
        <w:rPr>
          <w:rFonts w:hint="default" w:ascii="仿宋_GB2312" w:hAnsi="仿宋_GB2312" w:eastAsia="仿宋_GB2312" w:cs="仿宋_GB2312"/>
          <w:b w:val="0"/>
          <w:bCs w:val="0"/>
          <w:i w:val="0"/>
          <w:caps w:val="0"/>
          <w:snapToGrid/>
          <w:color w:val="auto"/>
          <w:spacing w:val="0"/>
          <w:kern w:val="0"/>
          <w:sz w:val="32"/>
          <w:szCs w:val="32"/>
          <w:u w:val="none"/>
          <w:lang w:val="en-US" w:eastAsia="zh-CN" w:bidi="ar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caps w:val="0"/>
          <w:snapToGrid/>
          <w:color w:val="auto"/>
          <w:spacing w:val="0"/>
          <w:kern w:val="0"/>
          <w:sz w:val="32"/>
          <w:szCs w:val="32"/>
          <w:u w:val="none"/>
          <w:lang w:val="en-US" w:eastAsia="zh-CN" w:bidi="ar"/>
        </w:rPr>
        <w:t>联系电话：13934504206</w:t>
      </w:r>
    </w:p>
    <w:p w14:paraId="7796AC6D"/>
    <w:sectPr>
      <w:pgSz w:w="11906" w:h="16838"/>
      <w:pgMar w:top="1440" w:right="1803" w:bottom="1440" w:left="1803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720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F11B2C19-3622-4276-940B-FB60B33FFAC5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2" w:fontKey="{027FF9BD-6EA7-4BB4-80A2-07F34AE40033}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  <w:embedRegular r:id="rId3" w:fontKey="{0BF4E394-09CC-4461-B518-233A12239163}"/>
  </w:font>
  <w:font w:name="方正小标宋简体">
    <w:panose1 w:val="02010600010101010101"/>
    <w:charset w:val="86"/>
    <w:family w:val="script"/>
    <w:pitch w:val="default"/>
    <w:sig w:usb0="00000001" w:usb1="080E0000" w:usb2="00000000" w:usb3="00000000" w:csb0="00040000" w:csb1="00000000"/>
    <w:embedRegular r:id="rId4" w:fontKey="{FB2C13F7-1889-48EF-9856-E74E41F22BC5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1DB1EE8"/>
    <w:rsid w:val="61DB1EE8"/>
    <w:rsid w:val="708F42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1123</Words>
  <Characters>1176</Characters>
  <Lines>0</Lines>
  <Paragraphs>0</Paragraphs>
  <TotalTime>0</TotalTime>
  <ScaleCrop>false</ScaleCrop>
  <LinksUpToDate>false</LinksUpToDate>
  <CharactersWithSpaces>1177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2026-05-29T08:16:00Z</dcterms:created>
  <dc:creator>yjgo2011</dc:creator>
  <cp:lastModifiedBy>yjgo2011</cp:lastModifiedBy>
  <dcterms:modified xsi:type="dcterms:W3CDTF">2026-05-29T08:43:09Z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82D8810BAF21498EB796C7671E06EDD1_11</vt:lpwstr>
  </property>
  <property fmtid="{D5CDD505-2E9C-101B-9397-08002B2CF9AE}" pid="4" name="KSOTemplateDocerSaveRecord">
    <vt:lpwstr>eyJoZGlkIjoiNTMxNGMyYTVlNmUxMjg4N2Y0YjdhOWE2MjVhNjg0MTYiLCJ1c2VySWQiOiIxOTUzODk5OTUifQ==</vt:lpwstr>
  </property>
</Properties>
</file>